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香河县党校部门</w:t>
      </w:r>
      <w:r>
        <w:rPr>
          <w:rFonts w:ascii="宋体" w:hAnsi="宋体"/>
          <w:b/>
          <w:sz w:val="44"/>
          <w:szCs w:val="44"/>
        </w:rPr>
        <w:t>2017</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按照《预算法》、《地方预决算公开操作规程》和《河北省省级预算公开办法》规定，现将香河县党校部门</w:t>
      </w:r>
      <w:r>
        <w:rPr>
          <w:rFonts w:ascii="仿宋" w:hAnsi="仿宋" w:eastAsia="仿宋"/>
          <w:sz w:val="32"/>
          <w:szCs w:val="32"/>
        </w:rPr>
        <w:t>2017</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仿宋" w:hAnsi="仿宋" w:eastAsia="仿宋"/>
          <w:b/>
          <w:sz w:val="32"/>
          <w:szCs w:val="32"/>
        </w:rPr>
      </w:pPr>
      <w:r>
        <w:rPr>
          <w:rFonts w:hint="eastAsia" w:ascii="仿宋" w:hAnsi="仿宋" w:eastAsia="仿宋"/>
          <w:b/>
          <w:sz w:val="32"/>
          <w:szCs w:val="32"/>
        </w:rPr>
        <w:t>部门职责：</w:t>
      </w:r>
    </w:p>
    <w:p>
      <w:pPr>
        <w:ind w:firstLine="640" w:firstLineChars="200"/>
        <w:rPr>
          <w:rFonts w:ascii="仿宋" w:hAnsi="仿宋" w:eastAsia="仿宋"/>
          <w:sz w:val="32"/>
          <w:szCs w:val="32"/>
        </w:rPr>
      </w:pPr>
      <w:r>
        <w:rPr>
          <w:rFonts w:hint="eastAsia" w:ascii="仿宋" w:hAnsi="仿宋" w:eastAsia="仿宋"/>
          <w:sz w:val="32"/>
          <w:szCs w:val="32"/>
        </w:rPr>
        <w:t>党校是党委领导下</w:t>
      </w:r>
      <w:r>
        <w:rPr>
          <w:rFonts w:ascii="仿宋" w:hAnsi="仿宋" w:eastAsia="仿宋"/>
          <w:sz w:val="32"/>
          <w:szCs w:val="32"/>
        </w:rPr>
        <w:t>,</w:t>
      </w:r>
      <w:r>
        <w:rPr>
          <w:rFonts w:hint="eastAsia" w:ascii="仿宋" w:hAnsi="仿宋" w:eastAsia="仿宋"/>
          <w:sz w:val="32"/>
          <w:szCs w:val="32"/>
        </w:rPr>
        <w:t>按照社会主义现代化事业的要求教育、培训党的干部的学校，是培养各级领导干部的学校，是培养各级领导干部、培养理论骨干、学习和研究马列主义、毛泽东思想、邓小平理论的重要阵地，也是干部增强党性锻炼的熔炉。</w:t>
      </w:r>
    </w:p>
    <w:p>
      <w:pPr>
        <w:ind w:firstLine="643" w:firstLineChars="200"/>
        <w:rPr>
          <w:rFonts w:ascii="仿宋" w:hAnsi="仿宋" w:eastAsia="仿宋"/>
          <w:b/>
          <w:sz w:val="32"/>
          <w:szCs w:val="32"/>
        </w:rPr>
      </w:pPr>
      <w:r>
        <w:rPr>
          <w:rFonts w:hint="eastAsia" w:ascii="仿宋" w:hAnsi="仿宋" w:eastAsia="仿宋"/>
          <w:b/>
          <w:sz w:val="32"/>
          <w:szCs w:val="32"/>
        </w:rPr>
        <w:t>机构设置：</w:t>
      </w:r>
    </w:p>
    <w:p>
      <w:pPr>
        <w:ind w:firstLine="640" w:firstLineChars="200"/>
        <w:rPr>
          <w:rFonts w:ascii="仿宋" w:hAnsi="仿宋" w:eastAsia="仿宋"/>
          <w:sz w:val="32"/>
          <w:szCs w:val="24"/>
        </w:rPr>
      </w:pPr>
      <w:r>
        <w:rPr>
          <w:rFonts w:hint="eastAsia" w:ascii="仿宋" w:hAnsi="仿宋" w:eastAsia="仿宋"/>
          <w:sz w:val="32"/>
          <w:szCs w:val="32"/>
        </w:rPr>
        <w:t>经费保障形式包括：财政性资金基本保证（全额事业）</w:t>
      </w:r>
    </w:p>
    <w:p>
      <w:pPr>
        <w:jc w:val="center"/>
        <w:outlineLvl w:val="0"/>
        <w:rPr>
          <w:rFonts w:ascii="Times New Roman" w:hAnsi="Times New Roman" w:eastAsia="方正小标宋_GBK"/>
          <w:sz w:val="32"/>
          <w:szCs w:val="24"/>
        </w:rPr>
      </w:pPr>
    </w:p>
    <w:p>
      <w:pPr>
        <w:jc w:val="center"/>
        <w:outlineLvl w:val="0"/>
        <w:rPr>
          <w:rFonts w:ascii="Times New Roman" w:hAnsi="Times New Roman" w:eastAsia="方正小标宋_GBK"/>
          <w:sz w:val="32"/>
          <w:szCs w:val="24"/>
        </w:rPr>
      </w:pP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中国共产党香河县委员会党校</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参公事业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财政性资金基本保证（全额事业）</w:t>
            </w:r>
          </w:p>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firstLineChars="200"/>
        <w:rPr>
          <w:rFonts w:ascii="仿宋" w:hAnsi="仿宋" w:eastAsia="仿宋"/>
          <w:sz w:val="32"/>
          <w:szCs w:val="32"/>
        </w:rPr>
      </w:pPr>
      <w:r>
        <w:rPr>
          <w:rFonts w:hint="eastAsia" w:ascii="仿宋" w:hAnsi="仿宋" w:eastAsia="仿宋"/>
          <w:sz w:val="32"/>
          <w:szCs w:val="32"/>
        </w:rPr>
        <w:t>按照预算管理有关规定，目前我县部门预算的编制实行综合预算制度，即全部收入和支出都反映在预算中。</w:t>
      </w:r>
      <w:r>
        <w:rPr>
          <w:rFonts w:hint="eastAsia" w:ascii="仿宋" w:hAnsi="仿宋" w:eastAsia="仿宋"/>
          <w:sz w:val="32"/>
          <w:szCs w:val="32"/>
          <w:lang w:eastAsia="zh-CN"/>
        </w:rPr>
        <w:t>只包含本单位预算，不包含下属单位预算在汇总预算中。</w:t>
      </w: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反映本部门当年全部收入。2017年预算收入</w:t>
      </w:r>
      <w:r>
        <w:rPr>
          <w:rFonts w:ascii="仿宋" w:hAnsi="仿宋" w:eastAsia="仿宋"/>
          <w:sz w:val="32"/>
          <w:szCs w:val="32"/>
        </w:rPr>
        <w:t>482.52</w:t>
      </w:r>
      <w:r>
        <w:rPr>
          <w:rFonts w:ascii="仿宋" w:hAnsi="仿宋" w:eastAsia="仿宋" w:cs="Times New Roman"/>
          <w:sz w:val="32"/>
          <w:szCs w:val="32"/>
        </w:rPr>
        <w:t>万元，其中：</w:t>
      </w:r>
      <w:r>
        <w:rPr>
          <w:rFonts w:hint="eastAsia" w:ascii="仿宋" w:hAnsi="仿宋" w:eastAsia="仿宋"/>
          <w:sz w:val="32"/>
          <w:szCs w:val="32"/>
        </w:rPr>
        <w:t>一般公共预算收入</w:t>
      </w:r>
      <w:r>
        <w:rPr>
          <w:rFonts w:ascii="仿宋" w:hAnsi="仿宋" w:eastAsia="仿宋"/>
          <w:sz w:val="32"/>
          <w:szCs w:val="32"/>
        </w:rPr>
        <w:t>482.52</w:t>
      </w:r>
      <w:r>
        <w:rPr>
          <w:rFonts w:hint="eastAsia" w:ascii="仿宋" w:hAnsi="仿宋" w:eastAsia="仿宋"/>
          <w:sz w:val="32"/>
          <w:szCs w:val="32"/>
        </w:rPr>
        <w:t>万元，财政专户核拨资金</w:t>
      </w:r>
      <w:r>
        <w:rPr>
          <w:rFonts w:hint="eastAsia" w:ascii="仿宋" w:hAnsi="仿宋" w:eastAsia="仿宋" w:cs="Times New Roman"/>
          <w:sz w:val="32"/>
          <w:szCs w:val="32"/>
          <w:lang w:val="en-US" w:eastAsia="zh-CN"/>
        </w:rPr>
        <w:t>0</w:t>
      </w:r>
      <w:r>
        <w:rPr>
          <w:rFonts w:hint="eastAsia" w:ascii="仿宋" w:hAnsi="仿宋" w:eastAsia="仿宋"/>
          <w:sz w:val="32"/>
          <w:szCs w:val="32"/>
        </w:rPr>
        <w:t>万元，政府性基金收入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万元，国有资本经营预算收入</w:t>
      </w:r>
      <w:r>
        <w:rPr>
          <w:rFonts w:hint="eastAsia" w:ascii="仿宋" w:hAnsi="仿宋" w:eastAsia="仿宋" w:cs="Times New Roman"/>
          <w:sz w:val="32"/>
          <w:szCs w:val="32"/>
          <w:lang w:val="en-US" w:eastAsia="zh-CN"/>
        </w:rPr>
        <w:t>0</w:t>
      </w:r>
      <w:r>
        <w:rPr>
          <w:rFonts w:hint="eastAsia" w:ascii="仿宋" w:hAnsi="仿宋" w:eastAsia="仿宋"/>
          <w:sz w:val="32"/>
          <w:szCs w:val="32"/>
        </w:rPr>
        <w:t>万元，事业收入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万元，其他收入</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ascii="仿宋" w:hAnsi="仿宋" w:eastAsia="仿宋" w:cs="Times New Roman"/>
          <w:sz w:val="32"/>
          <w:szCs w:val="32"/>
        </w:rPr>
        <w:t>。</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lang w:eastAsia="zh-CN"/>
        </w:rPr>
        <w:t>党校</w:t>
      </w:r>
      <w:r>
        <w:rPr>
          <w:rFonts w:hint="eastAsia" w:ascii="仿宋" w:hAnsi="仿宋" w:eastAsia="仿宋" w:cs="Times New Roman"/>
          <w:sz w:val="32"/>
          <w:szCs w:val="32"/>
        </w:rPr>
        <w:t>部门</w:t>
      </w:r>
      <w:r>
        <w:rPr>
          <w:rFonts w:ascii="仿宋" w:hAnsi="仿宋" w:eastAsia="仿宋" w:cs="Times New Roman"/>
          <w:sz w:val="32"/>
          <w:szCs w:val="32"/>
        </w:rPr>
        <w:t>年度部门预算中支出预算的总体情况。2017年支出预算</w:t>
      </w:r>
      <w:r>
        <w:rPr>
          <w:rFonts w:ascii="仿宋" w:hAnsi="仿宋" w:eastAsia="仿宋"/>
          <w:sz w:val="32"/>
          <w:szCs w:val="32"/>
        </w:rPr>
        <w:t>482.52</w:t>
      </w:r>
      <w:r>
        <w:rPr>
          <w:rFonts w:ascii="仿宋" w:hAnsi="仿宋" w:eastAsia="仿宋" w:cs="Times New Roman"/>
          <w:sz w:val="32"/>
          <w:szCs w:val="32"/>
        </w:rPr>
        <w:t>万元，其中基本支出</w:t>
      </w:r>
      <w:r>
        <w:rPr>
          <w:rFonts w:ascii="仿宋" w:hAnsi="仿宋" w:eastAsia="仿宋"/>
          <w:sz w:val="32"/>
          <w:szCs w:val="32"/>
        </w:rPr>
        <w:t>344.52</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sz w:val="32"/>
          <w:szCs w:val="32"/>
        </w:rPr>
        <w:t>包括人员经费</w:t>
      </w:r>
      <w:r>
        <w:rPr>
          <w:rFonts w:hint="eastAsia" w:ascii="仿宋" w:hAnsi="仿宋" w:eastAsia="仿宋" w:cs="Times New Roman"/>
          <w:sz w:val="32"/>
          <w:szCs w:val="32"/>
          <w:lang w:val="en-US" w:eastAsia="zh-CN"/>
        </w:rPr>
        <w:t>281.37</w:t>
      </w:r>
      <w:r>
        <w:rPr>
          <w:rFonts w:hint="eastAsia" w:ascii="仿宋" w:hAnsi="仿宋" w:eastAsia="仿宋"/>
          <w:sz w:val="32"/>
          <w:szCs w:val="32"/>
        </w:rPr>
        <w:t>万元，日常公用经费</w:t>
      </w:r>
      <w:r>
        <w:rPr>
          <w:rFonts w:hint="eastAsia" w:ascii="仿宋" w:hAnsi="仿宋" w:eastAsia="仿宋" w:cs="Times New Roman"/>
          <w:sz w:val="32"/>
          <w:szCs w:val="32"/>
          <w:lang w:val="en-US" w:eastAsia="zh-CN"/>
        </w:rPr>
        <w:t>63.15</w:t>
      </w:r>
      <w:r>
        <w:rPr>
          <w:rFonts w:hint="eastAsia" w:ascii="仿宋" w:hAnsi="仿宋" w:eastAsia="仿宋"/>
          <w:sz w:val="32"/>
          <w:szCs w:val="32"/>
        </w:rPr>
        <w:t>万元</w:t>
      </w:r>
      <w:r>
        <w:rPr>
          <w:rFonts w:ascii="仿宋" w:hAnsi="仿宋" w:eastAsia="仿宋" w:cs="Times New Roman"/>
          <w:sz w:val="32"/>
          <w:szCs w:val="32"/>
        </w:rPr>
        <w:t>；项目支出</w:t>
      </w:r>
      <w:r>
        <w:rPr>
          <w:rFonts w:ascii="仿宋" w:hAnsi="仿宋" w:eastAsia="仿宋"/>
          <w:sz w:val="32"/>
          <w:szCs w:val="32"/>
        </w:rPr>
        <w:t>137.99</w:t>
      </w:r>
      <w:r>
        <w:rPr>
          <w:rFonts w:ascii="仿宋" w:hAnsi="仿宋" w:eastAsia="仿宋" w:cs="Times New Roman"/>
          <w:sz w:val="32"/>
          <w:szCs w:val="32"/>
        </w:rPr>
        <w:t>万元，</w:t>
      </w:r>
      <w:r>
        <w:rPr>
          <w:rFonts w:hint="eastAsia" w:ascii="仿宋" w:hAnsi="仿宋" w:eastAsia="仿宋" w:cs="Times New Roman"/>
          <w:sz w:val="32"/>
          <w:szCs w:val="32"/>
        </w:rPr>
        <w:t>为</w:t>
      </w:r>
      <w:r>
        <w:rPr>
          <w:rFonts w:ascii="仿宋" w:hAnsi="仿宋" w:eastAsia="仿宋" w:cs="Times New Roman"/>
          <w:sz w:val="32"/>
          <w:szCs w:val="32"/>
        </w:rPr>
        <w:t>本级支出</w:t>
      </w:r>
      <w:r>
        <w:rPr>
          <w:rFonts w:ascii="仿宋" w:hAnsi="仿宋" w:eastAsia="仿宋"/>
          <w:sz w:val="32"/>
          <w:szCs w:val="32"/>
        </w:rPr>
        <w:t>137.99</w:t>
      </w:r>
      <w:r>
        <w:rPr>
          <w:rFonts w:hint="eastAsia" w:ascii="仿宋" w:hAnsi="仿宋" w:eastAsia="仿宋" w:cs="Times New Roman"/>
          <w:sz w:val="32"/>
          <w:szCs w:val="32"/>
        </w:rPr>
        <w:t>万元，</w:t>
      </w:r>
      <w:r>
        <w:rPr>
          <w:rFonts w:ascii="仿宋" w:hAnsi="仿宋" w:eastAsia="仿宋" w:cs="Times New Roman"/>
          <w:sz w:val="32"/>
          <w:szCs w:val="32"/>
        </w:rPr>
        <w:t>本级支出和对下补助支出</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年预算收支安排</w:t>
      </w:r>
      <w:r>
        <w:rPr>
          <w:rFonts w:ascii="仿宋" w:hAnsi="仿宋" w:eastAsia="仿宋"/>
          <w:sz w:val="32"/>
          <w:szCs w:val="32"/>
        </w:rPr>
        <w:t>482.52</w:t>
      </w:r>
      <w:r>
        <w:rPr>
          <w:rFonts w:hint="eastAsia" w:ascii="仿宋" w:hAnsi="仿宋" w:eastAsia="仿宋"/>
          <w:sz w:val="32"/>
          <w:szCs w:val="32"/>
        </w:rPr>
        <w:t>万元，较</w:t>
      </w:r>
      <w:r>
        <w:rPr>
          <w:rFonts w:ascii="仿宋" w:hAnsi="仿宋" w:eastAsia="仿宋"/>
          <w:sz w:val="32"/>
          <w:szCs w:val="32"/>
        </w:rPr>
        <w:t>2016</w:t>
      </w:r>
      <w:r>
        <w:rPr>
          <w:rFonts w:hint="eastAsia" w:ascii="仿宋" w:hAnsi="仿宋" w:eastAsia="仿宋"/>
          <w:sz w:val="32"/>
          <w:szCs w:val="32"/>
        </w:rPr>
        <w:t>年预算增加</w:t>
      </w:r>
      <w:r>
        <w:rPr>
          <w:rFonts w:ascii="仿宋" w:hAnsi="仿宋" w:eastAsia="仿宋"/>
          <w:sz w:val="32"/>
          <w:szCs w:val="32"/>
        </w:rPr>
        <w:t>129.24</w:t>
      </w:r>
      <w:r>
        <w:rPr>
          <w:rFonts w:hint="eastAsia" w:ascii="仿宋" w:hAnsi="仿宋" w:eastAsia="仿宋"/>
          <w:sz w:val="32"/>
          <w:szCs w:val="32"/>
        </w:rPr>
        <w:t>万元，其中：基本支出增加</w:t>
      </w:r>
      <w:r>
        <w:rPr>
          <w:rFonts w:ascii="仿宋" w:hAnsi="仿宋" w:eastAsia="仿宋"/>
          <w:sz w:val="32"/>
          <w:szCs w:val="32"/>
        </w:rPr>
        <w:t>125.24</w:t>
      </w:r>
      <w:r>
        <w:rPr>
          <w:rFonts w:hint="eastAsia" w:ascii="仿宋" w:hAnsi="仿宋" w:eastAsia="仿宋"/>
          <w:sz w:val="32"/>
          <w:szCs w:val="32"/>
        </w:rPr>
        <w:t>万元，主要为增加人员经费支出；项目支出增加</w:t>
      </w:r>
      <w:r>
        <w:rPr>
          <w:rFonts w:ascii="仿宋" w:hAnsi="仿宋" w:eastAsia="仿宋"/>
          <w:sz w:val="32"/>
          <w:szCs w:val="32"/>
        </w:rPr>
        <w:t>3.99</w:t>
      </w:r>
      <w:r>
        <w:rPr>
          <w:rFonts w:hint="eastAsia" w:ascii="仿宋" w:hAnsi="仿宋" w:eastAsia="仿宋"/>
          <w:sz w:val="32"/>
          <w:szCs w:val="32"/>
        </w:rPr>
        <w:t>万元，主要为进修及培训项目支出。</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ascii="仿宋" w:hAnsi="仿宋" w:eastAsia="仿宋"/>
          <w:sz w:val="32"/>
          <w:szCs w:val="32"/>
        </w:rPr>
        <w:t>63.15</w:t>
      </w:r>
      <w:r>
        <w:rPr>
          <w:rFonts w:hint="eastAsia" w:ascii="仿宋" w:hAnsi="仿宋" w:eastAsia="仿宋"/>
          <w:sz w:val="32"/>
          <w:szCs w:val="32"/>
        </w:rPr>
        <w:t>万元，主要用于党校办公区的日常维修、办公用房水电费、办公用房取暖费、办公用房物业管理费等日常运行支出。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年，本部门</w:t>
      </w:r>
      <w:r>
        <w:rPr>
          <w:rFonts w:ascii="仿宋" w:hAnsi="仿宋" w:eastAsia="仿宋"/>
          <w:sz w:val="32"/>
          <w:szCs w:val="32"/>
        </w:rPr>
        <w:t xml:space="preserve"> </w:t>
      </w:r>
      <w:r>
        <w:rPr>
          <w:rFonts w:hint="eastAsia" w:ascii="仿宋" w:hAnsi="仿宋" w:eastAsia="仿宋"/>
          <w:sz w:val="32"/>
          <w:szCs w:val="32"/>
        </w:rPr>
        <w:t>“三公”经费预算安排</w:t>
      </w:r>
      <w:r>
        <w:rPr>
          <w:rFonts w:ascii="仿宋" w:hAnsi="仿宋" w:eastAsia="仿宋"/>
          <w:sz w:val="32"/>
          <w:szCs w:val="32"/>
        </w:rPr>
        <w:t>1.9</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万元；公务用车购置及运维费</w:t>
      </w:r>
      <w:r>
        <w:rPr>
          <w:rFonts w:ascii="仿宋" w:hAnsi="仿宋" w:eastAsia="仿宋"/>
          <w:sz w:val="32"/>
          <w:szCs w:val="32"/>
        </w:rPr>
        <w:t>1.9</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，公务用车运行费</w:t>
      </w:r>
      <w:r>
        <w:rPr>
          <w:rFonts w:ascii="仿宋" w:hAnsi="仿宋" w:eastAsia="仿宋"/>
          <w:sz w:val="32"/>
          <w:szCs w:val="32"/>
        </w:rPr>
        <w:t>1.9</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0</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年持平。</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ind w:firstLine="640" w:firstLineChars="200"/>
        <w:jc w:val="left"/>
        <w:rPr>
          <w:rFonts w:hint="eastAsia" w:ascii="宋体" w:hAnsi="宋体"/>
          <w:b/>
          <w:sz w:val="32"/>
          <w:szCs w:val="32"/>
        </w:rPr>
      </w:pPr>
      <w:r>
        <w:rPr>
          <w:rFonts w:hint="eastAsia" w:ascii="宋体" w:hAnsi="宋体"/>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理论水平、思想觉悟和执政能力。</w:t>
      </w:r>
    </w:p>
    <w:p>
      <w:pPr>
        <w:ind w:firstLine="643" w:firstLineChars="200"/>
        <w:jc w:val="left"/>
        <w:outlineLvl w:val="0"/>
        <w:rPr>
          <w:rFonts w:ascii="宋体"/>
          <w:b/>
          <w:sz w:val="32"/>
          <w:szCs w:val="32"/>
        </w:rPr>
      </w:pPr>
      <w:r>
        <w:rPr>
          <w:rFonts w:hint="eastAsia" w:ascii="宋体" w:hAnsi="宋体"/>
          <w:b/>
          <w:sz w:val="32"/>
          <w:szCs w:val="32"/>
        </w:rPr>
        <w:t>部门职责及工作活动绩效目标指标：</w:t>
      </w:r>
    </w:p>
    <w:bookmarkEnd w:id="0"/>
    <w:p>
      <w:pPr>
        <w:jc w:val="center"/>
        <w:outlineLvl w:val="0"/>
        <w:rPr>
          <w:rFonts w:ascii="方正小标宋_GBK" w:eastAsia="方正小标宋_GBK"/>
          <w:sz w:val="32"/>
        </w:rPr>
      </w:pPr>
      <w:bookmarkStart w:id="1" w:name="_Toc478647361"/>
      <w:r>
        <w:rPr>
          <w:rFonts w:hint="eastAsia" w:ascii="宋体" w:hAnsi="宋体" w:cs="宋体"/>
          <w:sz w:val="32"/>
        </w:rPr>
        <w:t>部门职责</w:t>
      </w:r>
      <w:r>
        <w:rPr>
          <w:rFonts w:ascii="方正小标宋_GBK" w:eastAsia="方正小标宋_GBK"/>
          <w:sz w:val="32"/>
        </w:rPr>
        <w:t>-</w:t>
      </w:r>
      <w:r>
        <w:rPr>
          <w:rFonts w:hint="eastAsia" w:ascii="宋体" w:hAnsi="宋体" w:cs="宋体"/>
          <w:sz w:val="32"/>
        </w:rPr>
        <w:t>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582"/>
        <w:gridCol w:w="814"/>
        <w:gridCol w:w="8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281</w:t>
            </w:r>
            <w:r>
              <w:rPr>
                <w:rFonts w:hint="eastAsia" w:ascii="宋体" w:hAnsi="宋体" w:cs="宋体"/>
                <w:sz w:val="24"/>
              </w:rPr>
              <w:t>县党校</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宋体" w:hAns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宋体" w:hAnsi="宋体" w:cs="宋体"/>
                <w:b/>
              </w:rPr>
              <w:t>职责活动</w:t>
            </w:r>
          </w:p>
        </w:tc>
        <w:tc>
          <w:tcPr>
            <w:tcW w:w="1276" w:type="dxa"/>
            <w:vMerge w:val="restart"/>
            <w:vAlign w:val="center"/>
          </w:tcPr>
          <w:p>
            <w:pPr>
              <w:spacing w:line="300" w:lineRule="exact"/>
              <w:jc w:val="center"/>
              <w:rPr>
                <w:rFonts w:ascii="方正书宋_GBK" w:eastAsia="方正书宋_GBK"/>
                <w:b/>
              </w:rPr>
            </w:pPr>
            <w:r>
              <w:rPr>
                <w:rFonts w:hint="eastAsia" w:ascii="宋体" w:hAnsi="宋体" w:cs="宋体"/>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宋体" w:hAnsi="宋体" w:cs="宋体"/>
                <w:b/>
              </w:rPr>
              <w:t>内容描述</w:t>
            </w:r>
          </w:p>
        </w:tc>
        <w:tc>
          <w:tcPr>
            <w:tcW w:w="2976" w:type="dxa"/>
            <w:vMerge w:val="restart"/>
            <w:vAlign w:val="center"/>
          </w:tcPr>
          <w:p>
            <w:pPr>
              <w:spacing w:line="300" w:lineRule="exact"/>
              <w:jc w:val="center"/>
              <w:rPr>
                <w:rFonts w:ascii="方正书宋_GBK" w:eastAsia="方正书宋_GBK"/>
                <w:b/>
              </w:rPr>
            </w:pPr>
            <w:r>
              <w:rPr>
                <w:rFonts w:hint="eastAsia" w:ascii="宋体" w:hAnsi="宋体" w:cs="宋体"/>
                <w:b/>
              </w:rPr>
              <w:t>绩效目标</w:t>
            </w:r>
          </w:p>
        </w:tc>
        <w:tc>
          <w:tcPr>
            <w:tcW w:w="1417" w:type="dxa"/>
            <w:vMerge w:val="restart"/>
            <w:vAlign w:val="center"/>
          </w:tcPr>
          <w:p>
            <w:pPr>
              <w:spacing w:line="300" w:lineRule="exact"/>
              <w:jc w:val="center"/>
              <w:rPr>
                <w:rFonts w:ascii="方正书宋_GBK" w:eastAsia="方正书宋_GBK"/>
                <w:b/>
              </w:rPr>
            </w:pPr>
            <w:r>
              <w:rPr>
                <w:rFonts w:hint="eastAsia" w:ascii="宋体" w:hAnsi="宋体" w:cs="宋体"/>
                <w:b/>
              </w:rPr>
              <w:t>绩效指标</w:t>
            </w:r>
          </w:p>
        </w:tc>
        <w:tc>
          <w:tcPr>
            <w:tcW w:w="2948" w:type="dxa"/>
            <w:gridSpan w:val="4"/>
            <w:vAlign w:val="center"/>
          </w:tcPr>
          <w:p>
            <w:pPr>
              <w:spacing w:line="300" w:lineRule="exact"/>
              <w:jc w:val="center"/>
              <w:rPr>
                <w:rFonts w:ascii="方正书宋_GBK" w:eastAsia="方正书宋_GBK"/>
                <w:b/>
              </w:rPr>
            </w:pPr>
            <w:r>
              <w:rPr>
                <w:rFonts w:hint="eastAsia" w:ascii="宋体" w:hAnsi="宋体" w:cs="宋体"/>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宋体" w:hAnsi="宋体" w:cs="宋体"/>
                <w:b/>
              </w:rPr>
              <w:t>优</w:t>
            </w:r>
          </w:p>
        </w:tc>
        <w:tc>
          <w:tcPr>
            <w:tcW w:w="582" w:type="dxa"/>
            <w:vAlign w:val="center"/>
          </w:tcPr>
          <w:p>
            <w:pPr>
              <w:spacing w:line="300" w:lineRule="exact"/>
              <w:jc w:val="center"/>
              <w:rPr>
                <w:rFonts w:ascii="方正书宋_GBK" w:eastAsia="方正书宋_GBK"/>
                <w:b/>
              </w:rPr>
            </w:pPr>
            <w:r>
              <w:rPr>
                <w:rFonts w:hint="eastAsia" w:ascii="宋体" w:hAnsi="宋体" w:cs="宋体"/>
                <w:b/>
              </w:rPr>
              <w:t>良</w:t>
            </w:r>
          </w:p>
        </w:tc>
        <w:tc>
          <w:tcPr>
            <w:tcW w:w="814" w:type="dxa"/>
            <w:vAlign w:val="center"/>
          </w:tcPr>
          <w:p>
            <w:pPr>
              <w:spacing w:line="300" w:lineRule="exact"/>
              <w:jc w:val="center"/>
              <w:rPr>
                <w:rFonts w:ascii="方正书宋_GBK" w:eastAsia="方正书宋_GBK"/>
                <w:b/>
              </w:rPr>
            </w:pPr>
            <w:r>
              <w:rPr>
                <w:rFonts w:hint="eastAsia" w:ascii="宋体" w:hAnsi="宋体" w:cs="宋体"/>
                <w:b/>
              </w:rPr>
              <w:t>中</w:t>
            </w:r>
          </w:p>
        </w:tc>
        <w:tc>
          <w:tcPr>
            <w:tcW w:w="815" w:type="dxa"/>
            <w:vAlign w:val="center"/>
          </w:tcPr>
          <w:p>
            <w:pPr>
              <w:spacing w:line="300" w:lineRule="exact"/>
              <w:jc w:val="center"/>
              <w:rPr>
                <w:rFonts w:ascii="方正书宋_GBK" w:eastAsia="方正书宋_GBK"/>
                <w:b/>
              </w:rPr>
            </w:pPr>
            <w:r>
              <w:rPr>
                <w:rFonts w:hint="eastAsia" w:ascii="宋体" w:hAnsi="宋体" w:cs="宋体"/>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培训教育</w:t>
            </w:r>
          </w:p>
        </w:tc>
        <w:tc>
          <w:tcPr>
            <w:tcW w:w="1276" w:type="dxa"/>
            <w:vAlign w:val="center"/>
          </w:tcPr>
          <w:p>
            <w:pPr>
              <w:spacing w:line="300" w:lineRule="exact"/>
              <w:jc w:val="left"/>
              <w:rPr>
                <w:rFonts w:ascii="方正书宋_GBK" w:eastAsia="方正书宋_GBK"/>
              </w:rPr>
            </w:pPr>
            <w:r>
              <w:rPr>
                <w:rFonts w:ascii="方正书宋_GBK" w:eastAsia="方正书宋_GBK"/>
              </w:rPr>
              <w:t>137</w:t>
            </w:r>
            <w:r>
              <w:rPr>
                <w:rFonts w:hint="eastAsia" w:ascii="宋体" w:hAnsi="宋体" w:cs="宋体"/>
              </w:rPr>
              <w:t>．</w:t>
            </w:r>
            <w:r>
              <w:rPr>
                <w:rFonts w:ascii="方正书宋_GBK" w:eastAsia="方正书宋_GBK"/>
              </w:rPr>
              <w:t>99</w:t>
            </w:r>
          </w:p>
        </w:tc>
        <w:tc>
          <w:tcPr>
            <w:tcW w:w="2976" w:type="dxa"/>
            <w:vAlign w:val="center"/>
          </w:tcPr>
          <w:p>
            <w:pPr>
              <w:spacing w:line="300" w:lineRule="exact"/>
              <w:jc w:val="left"/>
              <w:rPr>
                <w:rFonts w:ascii="方正书宋_GBK" w:eastAsia="方正书宋_GBK"/>
              </w:rPr>
            </w:pPr>
            <w:r>
              <w:rPr>
                <w:rFonts w:hint="eastAsia" w:ascii="宋体" w:hAnsi="宋体" w:cs="宋体"/>
              </w:rPr>
              <w:t>根据县委、县政府有关要求，有计划地轮训和培训全县各级党政领导干部和理论骨干，负责对学员在党校学习期间的表现进行考核</w:t>
            </w:r>
          </w:p>
        </w:tc>
        <w:tc>
          <w:tcPr>
            <w:tcW w:w="2976" w:type="dxa"/>
            <w:vAlign w:val="center"/>
          </w:tcPr>
          <w:p>
            <w:pPr>
              <w:spacing w:line="300" w:lineRule="exact"/>
              <w:jc w:val="left"/>
              <w:rPr>
                <w:rFonts w:ascii="方正书宋_GBK" w:eastAsia="方正书宋_GBK"/>
              </w:rPr>
            </w:pPr>
            <w:r>
              <w:rPr>
                <w:rFonts w:hint="eastAsia" w:ascii="宋体" w:hAnsi="宋体" w:cs="宋体"/>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582" w:type="dxa"/>
            <w:vAlign w:val="center"/>
          </w:tcPr>
          <w:p>
            <w:pPr>
              <w:spacing w:line="300" w:lineRule="exact"/>
              <w:jc w:val="center"/>
              <w:rPr>
                <w:rFonts w:ascii="方正书宋_GBK" w:eastAsia="方正书宋_GBK"/>
              </w:rPr>
            </w:pPr>
          </w:p>
        </w:tc>
        <w:tc>
          <w:tcPr>
            <w:tcW w:w="814" w:type="dxa"/>
            <w:vAlign w:val="center"/>
          </w:tcPr>
          <w:p>
            <w:pPr>
              <w:spacing w:line="300" w:lineRule="exact"/>
              <w:jc w:val="center"/>
              <w:rPr>
                <w:rFonts w:ascii="方正书宋_GBK" w:eastAsia="方正书宋_GBK"/>
              </w:rPr>
            </w:pPr>
          </w:p>
        </w:tc>
        <w:tc>
          <w:tcPr>
            <w:tcW w:w="8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宋体" w:hAnsi="宋体" w:cs="宋体"/>
                <w:b/>
              </w:rPr>
              <w:t>　　组织培训班</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22.00</w:t>
            </w:r>
          </w:p>
        </w:tc>
        <w:tc>
          <w:tcPr>
            <w:tcW w:w="2976" w:type="dxa"/>
            <w:vMerge w:val="restart"/>
            <w:vAlign w:val="center"/>
          </w:tcPr>
          <w:p>
            <w:pPr>
              <w:spacing w:line="300" w:lineRule="exact"/>
              <w:jc w:val="left"/>
              <w:rPr>
                <w:rFonts w:ascii="方正书宋_GBK" w:eastAsia="方正书宋_GBK"/>
              </w:rPr>
            </w:pPr>
            <w:r>
              <w:rPr>
                <w:rFonts w:hint="eastAsia" w:ascii="宋体" w:hAnsi="宋体" w:cs="宋体"/>
              </w:rPr>
              <w:t>根据县委组织部干训计划，培训轮训领导干部和理论骨干；受县委、县政府及有关职能部门委托举办各种专题培训、研讨班</w:t>
            </w:r>
          </w:p>
        </w:tc>
        <w:tc>
          <w:tcPr>
            <w:tcW w:w="2976" w:type="dxa"/>
            <w:vMerge w:val="restart"/>
            <w:vAlign w:val="center"/>
          </w:tcPr>
          <w:p>
            <w:pPr>
              <w:spacing w:line="300" w:lineRule="exact"/>
              <w:jc w:val="left"/>
              <w:rPr>
                <w:rFonts w:ascii="方正书宋_GBK" w:eastAsia="方正书宋_GBK"/>
              </w:rPr>
            </w:pPr>
            <w:r>
              <w:rPr>
                <w:rFonts w:hint="eastAsia" w:ascii="宋体" w:hAnsi="宋体" w:cs="宋体"/>
              </w:rPr>
              <w:t>通过外请专家、学者授课，开拓学员思路；通过开展现场教学、情景模拟教学、案例教学、特色教学，有效提高培训质量，提高学员解决实际问题的能力</w:t>
            </w:r>
          </w:p>
        </w:tc>
        <w:tc>
          <w:tcPr>
            <w:tcW w:w="1417" w:type="dxa"/>
            <w:vAlign w:val="center"/>
          </w:tcPr>
          <w:p>
            <w:pPr>
              <w:spacing w:line="300" w:lineRule="exact"/>
              <w:jc w:val="left"/>
              <w:rPr>
                <w:rFonts w:ascii="方正书宋_GBK" w:eastAsia="方正书宋_GBK"/>
              </w:rPr>
            </w:pPr>
            <w:r>
              <w:rPr>
                <w:rFonts w:hint="eastAsia" w:ascii="宋体" w:hAnsi="宋体" w:cs="宋体"/>
              </w:rPr>
              <w:t>学员教学满意率</w:t>
            </w: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582" w:type="dxa"/>
            <w:vAlign w:val="center"/>
          </w:tcPr>
          <w:p>
            <w:pPr>
              <w:spacing w:line="300" w:lineRule="exact"/>
              <w:jc w:val="center"/>
              <w:rPr>
                <w:rFonts w:ascii="方正书宋_GBK" w:eastAsia="方正书宋_GBK"/>
              </w:rPr>
            </w:pPr>
            <w:r>
              <w:rPr>
                <w:rFonts w:ascii="方正书宋_GBK" w:eastAsia="方正书宋_GBK"/>
              </w:rPr>
              <w:t>85%</w:t>
            </w:r>
          </w:p>
        </w:tc>
        <w:tc>
          <w:tcPr>
            <w:tcW w:w="814" w:type="dxa"/>
            <w:vAlign w:val="center"/>
          </w:tcPr>
          <w:p>
            <w:pPr>
              <w:spacing w:line="300" w:lineRule="exact"/>
              <w:jc w:val="center"/>
              <w:rPr>
                <w:rFonts w:ascii="方正书宋_GBK" w:eastAsia="方正书宋_GBK"/>
              </w:rPr>
            </w:pPr>
            <w:r>
              <w:rPr>
                <w:rFonts w:ascii="方正书宋_GBK" w:eastAsia="方正书宋_GBK"/>
              </w:rPr>
              <w:t>70%</w:t>
            </w:r>
          </w:p>
        </w:tc>
        <w:tc>
          <w:tcPr>
            <w:tcW w:w="815"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宋体" w:hAnsi="宋体" w:cs="宋体"/>
              </w:rPr>
              <w:t>培训任务完成率</w:t>
            </w: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582" w:type="dxa"/>
            <w:vAlign w:val="center"/>
          </w:tcPr>
          <w:p>
            <w:pPr>
              <w:spacing w:line="300" w:lineRule="exact"/>
              <w:jc w:val="center"/>
              <w:rPr>
                <w:rFonts w:ascii="方正书宋_GBK" w:eastAsia="方正书宋_GBK"/>
              </w:rPr>
            </w:pPr>
            <w:r>
              <w:rPr>
                <w:rFonts w:ascii="方正书宋_GBK" w:eastAsia="方正书宋_GBK"/>
              </w:rPr>
              <w:t>85%</w:t>
            </w:r>
          </w:p>
        </w:tc>
        <w:tc>
          <w:tcPr>
            <w:tcW w:w="814" w:type="dxa"/>
            <w:vAlign w:val="center"/>
          </w:tcPr>
          <w:p>
            <w:pPr>
              <w:spacing w:line="300" w:lineRule="exact"/>
              <w:jc w:val="center"/>
              <w:rPr>
                <w:rFonts w:ascii="方正书宋_GBK" w:eastAsia="方正书宋_GBK"/>
              </w:rPr>
            </w:pPr>
            <w:r>
              <w:rPr>
                <w:rFonts w:ascii="方正书宋_GBK" w:eastAsia="方正书宋_GBK"/>
              </w:rPr>
              <w:t>70%</w:t>
            </w:r>
          </w:p>
        </w:tc>
        <w:tc>
          <w:tcPr>
            <w:tcW w:w="815"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　　师资与学科建设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宋体" w:hAnsi="宋体" w:cs="宋体"/>
              </w:rPr>
              <w:t>加强学科建和学科培育，形成有党校特色的优势学科和重点学科和教学基地</w:t>
            </w:r>
          </w:p>
        </w:tc>
        <w:tc>
          <w:tcPr>
            <w:tcW w:w="2976" w:type="dxa"/>
            <w:vAlign w:val="center"/>
          </w:tcPr>
          <w:p>
            <w:pPr>
              <w:spacing w:line="300" w:lineRule="exact"/>
              <w:jc w:val="left"/>
              <w:rPr>
                <w:rFonts w:ascii="方正书宋_GBK" w:eastAsia="方正书宋_GBK"/>
              </w:rPr>
            </w:pPr>
            <w:r>
              <w:rPr>
                <w:rFonts w:hint="eastAsia" w:ascii="宋体" w:hAnsi="宋体" w:cs="宋体"/>
              </w:rPr>
              <w:t>通过重点培育和建设，形成几门有党校特色的优势学科和重点学科</w:t>
            </w:r>
          </w:p>
        </w:tc>
        <w:tc>
          <w:tcPr>
            <w:tcW w:w="1417" w:type="dxa"/>
            <w:vAlign w:val="center"/>
          </w:tcPr>
          <w:p>
            <w:pPr>
              <w:spacing w:line="300" w:lineRule="exact"/>
              <w:jc w:val="left"/>
              <w:rPr>
                <w:rFonts w:ascii="方正书宋_GBK" w:eastAsia="方正书宋_GBK"/>
              </w:rPr>
            </w:pPr>
            <w:r>
              <w:rPr>
                <w:rFonts w:hint="eastAsia" w:ascii="宋体" w:hAnsi="宋体" w:cs="宋体"/>
              </w:rPr>
              <w:t>建设几门党校特色的优势学科</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582" w:type="dxa"/>
            <w:vAlign w:val="center"/>
          </w:tcPr>
          <w:p>
            <w:pPr>
              <w:spacing w:line="300" w:lineRule="exact"/>
              <w:jc w:val="center"/>
              <w:rPr>
                <w:rFonts w:ascii="方正书宋_GBK" w:eastAsia="方正书宋_GBK"/>
              </w:rPr>
            </w:pPr>
            <w:r>
              <w:rPr>
                <w:rFonts w:ascii="方正书宋_GBK" w:eastAsia="方正书宋_GBK"/>
              </w:rPr>
              <w:t>85%</w:t>
            </w:r>
          </w:p>
        </w:tc>
        <w:tc>
          <w:tcPr>
            <w:tcW w:w="814" w:type="dxa"/>
            <w:vAlign w:val="center"/>
          </w:tcPr>
          <w:p>
            <w:pPr>
              <w:spacing w:line="300" w:lineRule="exact"/>
              <w:jc w:val="center"/>
              <w:rPr>
                <w:rFonts w:ascii="方正书宋_GBK" w:eastAsia="方正书宋_GBK"/>
              </w:rPr>
            </w:pPr>
            <w:r>
              <w:rPr>
                <w:rFonts w:ascii="方正书宋_GBK" w:eastAsia="方正书宋_GBK"/>
              </w:rPr>
              <w:t>70%</w:t>
            </w:r>
          </w:p>
        </w:tc>
        <w:tc>
          <w:tcPr>
            <w:tcW w:w="815"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　　教学事务管理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103.99</w:t>
            </w:r>
          </w:p>
        </w:tc>
        <w:tc>
          <w:tcPr>
            <w:tcW w:w="2976" w:type="dxa"/>
            <w:vAlign w:val="center"/>
          </w:tcPr>
          <w:p>
            <w:pPr>
              <w:spacing w:line="300" w:lineRule="exact"/>
              <w:jc w:val="left"/>
              <w:rPr>
                <w:rFonts w:ascii="方正书宋_GBK" w:eastAsia="方正书宋_GBK"/>
              </w:rPr>
            </w:pPr>
            <w:r>
              <w:rPr>
                <w:rFonts w:hint="eastAsia" w:ascii="宋体" w:hAnsi="宋体" w:cs="宋体"/>
              </w:rPr>
              <w:t>组织实施综合管理和后勤保障服务</w:t>
            </w:r>
          </w:p>
        </w:tc>
        <w:tc>
          <w:tcPr>
            <w:tcW w:w="2976" w:type="dxa"/>
            <w:vAlign w:val="center"/>
          </w:tcPr>
          <w:p>
            <w:pPr>
              <w:spacing w:line="300" w:lineRule="exact"/>
              <w:jc w:val="left"/>
              <w:rPr>
                <w:rFonts w:ascii="方正书宋_GBK" w:eastAsia="方正书宋_GBK"/>
              </w:rPr>
            </w:pPr>
            <w:r>
              <w:rPr>
                <w:rFonts w:hint="eastAsia" w:ascii="宋体" w:hAnsi="宋体" w:cs="宋体"/>
              </w:rPr>
              <w:t>通过有效的行政后勤管理，完善教学设施和服务网络，提高保障水平，促进教学活动和学员培训水平的提高</w:t>
            </w:r>
          </w:p>
        </w:tc>
        <w:tc>
          <w:tcPr>
            <w:tcW w:w="1417" w:type="dxa"/>
            <w:vAlign w:val="center"/>
          </w:tcPr>
          <w:p>
            <w:pPr>
              <w:spacing w:line="300" w:lineRule="exact"/>
              <w:jc w:val="left"/>
              <w:rPr>
                <w:rFonts w:ascii="方正书宋_GBK" w:eastAsia="方正书宋_GBK"/>
              </w:rPr>
            </w:pPr>
            <w:r>
              <w:rPr>
                <w:rFonts w:hint="eastAsia" w:ascii="宋体" w:hAnsi="宋体" w:cs="宋体"/>
              </w:rPr>
              <w:t>学员对综合事物管理满意度</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582" w:type="dxa"/>
            <w:vAlign w:val="center"/>
          </w:tcPr>
          <w:p>
            <w:pPr>
              <w:spacing w:line="300" w:lineRule="exact"/>
              <w:jc w:val="center"/>
              <w:rPr>
                <w:rFonts w:ascii="方正书宋_GBK" w:eastAsia="方正书宋_GBK"/>
              </w:rPr>
            </w:pPr>
            <w:r>
              <w:rPr>
                <w:rFonts w:ascii="方正书宋_GBK" w:eastAsia="方正书宋_GBK"/>
              </w:rPr>
              <w:t>85%</w:t>
            </w:r>
          </w:p>
        </w:tc>
        <w:tc>
          <w:tcPr>
            <w:tcW w:w="814" w:type="dxa"/>
            <w:vAlign w:val="center"/>
          </w:tcPr>
          <w:p>
            <w:pPr>
              <w:spacing w:line="300" w:lineRule="exact"/>
              <w:jc w:val="center"/>
              <w:rPr>
                <w:rFonts w:ascii="方正书宋_GBK" w:eastAsia="方正书宋_GBK"/>
              </w:rPr>
            </w:pPr>
            <w:r>
              <w:rPr>
                <w:rFonts w:ascii="方正书宋_GBK" w:eastAsia="方正书宋_GBK"/>
              </w:rPr>
              <w:t>70%</w:t>
            </w:r>
          </w:p>
        </w:tc>
        <w:tc>
          <w:tcPr>
            <w:tcW w:w="815"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　　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2976" w:type="dxa"/>
            <w:vAlign w:val="center"/>
          </w:tcPr>
          <w:p>
            <w:pPr>
              <w:spacing w:line="300" w:lineRule="exact"/>
              <w:jc w:val="left"/>
              <w:rPr>
                <w:rFonts w:ascii="方正书宋_GBK" w:eastAsia="方正书宋_GBK"/>
              </w:rPr>
            </w:pPr>
            <w:r>
              <w:rPr>
                <w:rFonts w:hint="eastAsia" w:ascii="宋体" w:hAnsi="宋体" w:cs="宋体"/>
              </w:rPr>
              <w:t>组织单位日常活动的有效运行，提供有力的后勤保障</w:t>
            </w:r>
          </w:p>
        </w:tc>
        <w:tc>
          <w:tcPr>
            <w:tcW w:w="2976" w:type="dxa"/>
            <w:vAlign w:val="center"/>
          </w:tcPr>
          <w:p>
            <w:pPr>
              <w:spacing w:line="300" w:lineRule="exact"/>
              <w:jc w:val="left"/>
              <w:rPr>
                <w:rFonts w:ascii="方正书宋_GBK" w:eastAsia="方正书宋_GBK"/>
              </w:rPr>
            </w:pPr>
            <w:r>
              <w:rPr>
                <w:rFonts w:hint="eastAsia" w:ascii="宋体" w:hAnsi="宋体" w:cs="宋体"/>
              </w:rPr>
              <w:t>完善单位管</w:t>
            </w:r>
            <w:bookmarkStart w:id="3" w:name="_GoBack"/>
            <w:bookmarkEnd w:id="3"/>
            <w:r>
              <w:rPr>
                <w:rFonts w:hint="eastAsia" w:ascii="宋体" w:hAnsi="宋体" w:cs="宋体"/>
              </w:rPr>
              <w:t>理建设，为单位工作的正常开展做好保障工作</w:t>
            </w:r>
          </w:p>
        </w:tc>
        <w:tc>
          <w:tcPr>
            <w:tcW w:w="1417" w:type="dxa"/>
            <w:vAlign w:val="center"/>
          </w:tcPr>
          <w:p>
            <w:pPr>
              <w:spacing w:line="300" w:lineRule="exact"/>
              <w:jc w:val="left"/>
              <w:rPr>
                <w:rFonts w:ascii="方正书宋_GBK" w:eastAsia="方正书宋_GBK"/>
              </w:rPr>
            </w:pPr>
            <w:r>
              <w:rPr>
                <w:rFonts w:hint="eastAsia" w:ascii="宋体" w:hAnsi="宋体" w:cs="宋体"/>
              </w:rPr>
              <w:t>教职工的满意度</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582" w:type="dxa"/>
            <w:vAlign w:val="center"/>
          </w:tcPr>
          <w:p>
            <w:pPr>
              <w:spacing w:line="300" w:lineRule="exact"/>
              <w:jc w:val="center"/>
              <w:rPr>
                <w:rFonts w:ascii="方正书宋_GBK" w:eastAsia="方正书宋_GBK"/>
              </w:rPr>
            </w:pPr>
            <w:r>
              <w:rPr>
                <w:rFonts w:ascii="方正书宋_GBK" w:eastAsia="方正书宋_GBK"/>
              </w:rPr>
              <w:t>85%</w:t>
            </w:r>
          </w:p>
        </w:tc>
        <w:tc>
          <w:tcPr>
            <w:tcW w:w="814" w:type="dxa"/>
            <w:vAlign w:val="center"/>
          </w:tcPr>
          <w:p>
            <w:pPr>
              <w:spacing w:line="300" w:lineRule="exact"/>
              <w:jc w:val="center"/>
              <w:rPr>
                <w:rFonts w:ascii="方正书宋_GBK" w:eastAsia="方正书宋_GBK"/>
              </w:rPr>
            </w:pPr>
            <w:r>
              <w:rPr>
                <w:rFonts w:ascii="方正书宋_GBK" w:eastAsia="方正书宋_GBK"/>
              </w:rPr>
              <w:t>70%</w:t>
            </w:r>
          </w:p>
        </w:tc>
        <w:tc>
          <w:tcPr>
            <w:tcW w:w="815" w:type="dxa"/>
            <w:vAlign w:val="center"/>
          </w:tcPr>
          <w:p>
            <w:pPr>
              <w:spacing w:line="300" w:lineRule="exact"/>
              <w:jc w:val="center"/>
              <w:rPr>
                <w:rFonts w:ascii="方正书宋_GBK" w:eastAsia="方正书宋_GBK"/>
              </w:rPr>
            </w:pPr>
            <w:r>
              <w:rPr>
                <w:rFonts w:ascii="方正书宋_GBK" w:eastAsia="方正书宋_GBK"/>
              </w:rPr>
              <w:t>50%</w:t>
            </w:r>
          </w:p>
        </w:tc>
      </w:tr>
    </w:tbl>
    <w:p>
      <w:pPr>
        <w:ind w:firstLine="640"/>
        <w:rPr>
          <w:rFonts w:hint="eastAsia"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六、政府采购预算情况</w:t>
      </w:r>
    </w:p>
    <w:p>
      <w:pPr>
        <w:ind w:firstLine="800" w:firstLineChars="250"/>
        <w:rPr>
          <w:rFonts w:ascii="仿宋" w:hAnsi="仿宋" w:eastAsia="仿宋"/>
          <w:sz w:val="32"/>
          <w:szCs w:val="32"/>
        </w:rPr>
      </w:pPr>
      <w:bookmarkStart w:id="2" w:name="_Toc471398468"/>
      <w:r>
        <w:rPr>
          <w:rFonts w:ascii="仿宋" w:hAnsi="仿宋" w:eastAsia="仿宋"/>
          <w:sz w:val="32"/>
          <w:szCs w:val="32"/>
        </w:rPr>
        <w:t>2017</w:t>
      </w:r>
      <w:r>
        <w:rPr>
          <w:rFonts w:hint="eastAsia" w:ascii="仿宋" w:hAnsi="仿宋" w:eastAsia="仿宋"/>
          <w:sz w:val="32"/>
          <w:szCs w:val="32"/>
        </w:rPr>
        <w:t>年，本部门没有安排政府采购预算。</w:t>
      </w:r>
      <w:bookmarkEnd w:id="2"/>
    </w:p>
    <w:p>
      <w:pPr>
        <w:ind w:firstLine="640"/>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香河县党校部门（含所属单位）上年末固定资产金额为</w:t>
      </w:r>
      <w:r>
        <w:rPr>
          <w:rFonts w:ascii="仿宋" w:hAnsi="仿宋" w:eastAsia="仿宋"/>
          <w:sz w:val="32"/>
          <w:szCs w:val="32"/>
        </w:rPr>
        <w:t>413.36</w:t>
      </w:r>
      <w:r>
        <w:rPr>
          <w:rFonts w:hint="eastAsia" w:ascii="仿宋" w:hAnsi="仿宋" w:eastAsia="仿宋"/>
          <w:sz w:val="32"/>
          <w:szCs w:val="32"/>
        </w:rPr>
        <w:t>万元，本年度各单位（处室）拟购置固定资产主要为</w:t>
      </w:r>
      <w:r>
        <w:rPr>
          <w:rFonts w:ascii="仿宋" w:hAnsi="仿宋" w:eastAsia="仿宋"/>
          <w:sz w:val="32"/>
          <w:szCs w:val="32"/>
        </w:rPr>
        <w:t>0</w:t>
      </w:r>
      <w:r>
        <w:rPr>
          <w:rFonts w:hint="eastAsia" w:ascii="仿宋" w:hAnsi="仿宋" w:eastAsia="仿宋"/>
          <w:sz w:val="32"/>
          <w:szCs w:val="32"/>
        </w:rPr>
        <w:t>万元。详见下表。</w:t>
      </w:r>
    </w:p>
    <w:p>
      <w:pPr>
        <w:ind w:firstLine="640"/>
        <w:rPr>
          <w:rFonts w:ascii="仿宋" w:hAnsi="仿宋" w:eastAsia="仿宋"/>
          <w:sz w:val="32"/>
          <w:szCs w:val="32"/>
        </w:rPr>
      </w:pPr>
      <w:r>
        <w:rPr>
          <w:rFonts w:ascii="仿宋" w:hAnsi="仿宋" w:eastAsia="仿宋"/>
          <w:sz w:val="32"/>
          <w:szCs w:val="32"/>
        </w:rPr>
        <w:t xml:space="preserve">                                                                                                                     </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编制部门：香河县党校部门</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416.36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3600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350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3600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350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13.50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w:t>
            </w:r>
            <w:r>
              <w:rPr>
                <w:rFonts w:asci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52.86</w:t>
            </w: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0"/>
        <w:rPr>
          <w:rFonts w:ascii="仿宋" w:hAnsi="仿宋" w:eastAsia="仿宋"/>
          <w:b/>
          <w:bCs/>
          <w:sz w:val="32"/>
          <w:szCs w:val="32"/>
        </w:rPr>
      </w:pPr>
      <w:r>
        <w:rPr>
          <w:rFonts w:hint="eastAsia" w:ascii="仿宋" w:hAnsi="仿宋" w:eastAsia="仿宋"/>
          <w:b/>
          <w:bCs/>
          <w:sz w:val="32"/>
          <w:szCs w:val="32"/>
        </w:rPr>
        <w:t xml:space="preserve"> 1</w:t>
      </w:r>
      <w:r>
        <w:rPr>
          <w:rFonts w:hint="eastAsia" w:ascii="仿宋" w:hAnsi="仿宋" w:eastAsia="仿宋" w:cs="FZFangSong-Z02"/>
          <w:sz w:val="32"/>
          <w:szCs w:val="32"/>
        </w:rPr>
        <w:t>、一般公共预算拨款收入：指市级财政当年拨付的资金。</w:t>
      </w:r>
    </w:p>
    <w:p>
      <w:pPr>
        <w:pStyle w:val="10"/>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0"/>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0"/>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0"/>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0"/>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2F80"/>
    <w:rsid w:val="00005AA1"/>
    <w:rsid w:val="00037AF6"/>
    <w:rsid w:val="00045A61"/>
    <w:rsid w:val="00062DD6"/>
    <w:rsid w:val="000648EF"/>
    <w:rsid w:val="000650DE"/>
    <w:rsid w:val="000751CD"/>
    <w:rsid w:val="00075D5F"/>
    <w:rsid w:val="00093D80"/>
    <w:rsid w:val="000A63E7"/>
    <w:rsid w:val="000A6657"/>
    <w:rsid w:val="000B04B5"/>
    <w:rsid w:val="000C3A19"/>
    <w:rsid w:val="001245BB"/>
    <w:rsid w:val="00125FBB"/>
    <w:rsid w:val="0018479D"/>
    <w:rsid w:val="00187F93"/>
    <w:rsid w:val="00196859"/>
    <w:rsid w:val="001C124B"/>
    <w:rsid w:val="001D615F"/>
    <w:rsid w:val="00203698"/>
    <w:rsid w:val="002126E5"/>
    <w:rsid w:val="00223272"/>
    <w:rsid w:val="00241FD4"/>
    <w:rsid w:val="0024465C"/>
    <w:rsid w:val="00246DD9"/>
    <w:rsid w:val="002508C4"/>
    <w:rsid w:val="00251B12"/>
    <w:rsid w:val="00261354"/>
    <w:rsid w:val="002645FB"/>
    <w:rsid w:val="00296113"/>
    <w:rsid w:val="002C200A"/>
    <w:rsid w:val="002D1476"/>
    <w:rsid w:val="002D4AF7"/>
    <w:rsid w:val="002D5EEC"/>
    <w:rsid w:val="002F3E58"/>
    <w:rsid w:val="0030542C"/>
    <w:rsid w:val="00311B7A"/>
    <w:rsid w:val="00332ABC"/>
    <w:rsid w:val="00373673"/>
    <w:rsid w:val="003A094E"/>
    <w:rsid w:val="003E1A7F"/>
    <w:rsid w:val="003F49E7"/>
    <w:rsid w:val="00451871"/>
    <w:rsid w:val="00472923"/>
    <w:rsid w:val="00497870"/>
    <w:rsid w:val="004B37C2"/>
    <w:rsid w:val="004D5770"/>
    <w:rsid w:val="004E3066"/>
    <w:rsid w:val="004E74CD"/>
    <w:rsid w:val="004F6123"/>
    <w:rsid w:val="00520CEC"/>
    <w:rsid w:val="005473E2"/>
    <w:rsid w:val="005632E5"/>
    <w:rsid w:val="00573562"/>
    <w:rsid w:val="00595C93"/>
    <w:rsid w:val="005C1AEB"/>
    <w:rsid w:val="006009A1"/>
    <w:rsid w:val="00614A29"/>
    <w:rsid w:val="0064643F"/>
    <w:rsid w:val="00646686"/>
    <w:rsid w:val="00671F0A"/>
    <w:rsid w:val="006A0B55"/>
    <w:rsid w:val="006D6C8A"/>
    <w:rsid w:val="00715B47"/>
    <w:rsid w:val="007323EB"/>
    <w:rsid w:val="0075393C"/>
    <w:rsid w:val="00757221"/>
    <w:rsid w:val="00776C08"/>
    <w:rsid w:val="00776EAC"/>
    <w:rsid w:val="007A1524"/>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4DF9"/>
    <w:rsid w:val="00905D08"/>
    <w:rsid w:val="00925753"/>
    <w:rsid w:val="00927B0B"/>
    <w:rsid w:val="00943063"/>
    <w:rsid w:val="009668BA"/>
    <w:rsid w:val="00966C5C"/>
    <w:rsid w:val="00967BB9"/>
    <w:rsid w:val="00973104"/>
    <w:rsid w:val="00983EF8"/>
    <w:rsid w:val="009C119B"/>
    <w:rsid w:val="00A10978"/>
    <w:rsid w:val="00A34D76"/>
    <w:rsid w:val="00A575C1"/>
    <w:rsid w:val="00A72D2E"/>
    <w:rsid w:val="00A911E7"/>
    <w:rsid w:val="00A939D9"/>
    <w:rsid w:val="00AA71ED"/>
    <w:rsid w:val="00AB5FF4"/>
    <w:rsid w:val="00AC79F2"/>
    <w:rsid w:val="00AD4B4F"/>
    <w:rsid w:val="00AF6B63"/>
    <w:rsid w:val="00B0260A"/>
    <w:rsid w:val="00B043C4"/>
    <w:rsid w:val="00B05CF7"/>
    <w:rsid w:val="00B20712"/>
    <w:rsid w:val="00B43238"/>
    <w:rsid w:val="00B53B85"/>
    <w:rsid w:val="00B75216"/>
    <w:rsid w:val="00B84923"/>
    <w:rsid w:val="00B91D52"/>
    <w:rsid w:val="00BA1ACD"/>
    <w:rsid w:val="00BA408B"/>
    <w:rsid w:val="00BF2E03"/>
    <w:rsid w:val="00C1211B"/>
    <w:rsid w:val="00C24BF5"/>
    <w:rsid w:val="00C8081B"/>
    <w:rsid w:val="00C8569A"/>
    <w:rsid w:val="00CA30D1"/>
    <w:rsid w:val="00CA7176"/>
    <w:rsid w:val="00CD2773"/>
    <w:rsid w:val="00CD2FBD"/>
    <w:rsid w:val="00CE143B"/>
    <w:rsid w:val="00CE1E43"/>
    <w:rsid w:val="00CE403B"/>
    <w:rsid w:val="00D203AA"/>
    <w:rsid w:val="00D361CD"/>
    <w:rsid w:val="00D4510A"/>
    <w:rsid w:val="00D47AAE"/>
    <w:rsid w:val="00D80DB8"/>
    <w:rsid w:val="00DA2FDB"/>
    <w:rsid w:val="00E02779"/>
    <w:rsid w:val="00E167C7"/>
    <w:rsid w:val="00E82D2E"/>
    <w:rsid w:val="00E84FEB"/>
    <w:rsid w:val="00EC47F6"/>
    <w:rsid w:val="00ED1D44"/>
    <w:rsid w:val="00EE1B43"/>
    <w:rsid w:val="00EF6525"/>
    <w:rsid w:val="00F153EF"/>
    <w:rsid w:val="00F34F09"/>
    <w:rsid w:val="00F50E15"/>
    <w:rsid w:val="00F61055"/>
    <w:rsid w:val="00F66032"/>
    <w:rsid w:val="00F958C2"/>
    <w:rsid w:val="00FB4CD3"/>
    <w:rsid w:val="00FC58F7"/>
    <w:rsid w:val="00FC6357"/>
    <w:rsid w:val="00FD2081"/>
    <w:rsid w:val="00FE3D85"/>
    <w:rsid w:val="029E4A55"/>
    <w:rsid w:val="08473390"/>
    <w:rsid w:val="08C07EA0"/>
    <w:rsid w:val="22A560E9"/>
    <w:rsid w:val="4EAE64B1"/>
    <w:rsid w:val="788B7D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Header Char"/>
    <w:basedOn w:val="6"/>
    <w:link w:val="3"/>
    <w:qFormat/>
    <w:locked/>
    <w:uiPriority w:val="99"/>
    <w:rPr>
      <w:rFonts w:ascii="Times New Roman" w:hAnsi="Times New Roman" w:eastAsia="宋体" w:cs="Times New Roman"/>
      <w:sz w:val="18"/>
      <w:szCs w:val="18"/>
    </w:rPr>
  </w:style>
  <w:style w:type="character" w:customStyle="1" w:styleId="9">
    <w:name w:val="Footer Char"/>
    <w:basedOn w:val="6"/>
    <w:link w:val="2"/>
    <w:qFormat/>
    <w:locked/>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361</Words>
  <Characters>2062</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cp:lastPrinted>2017-06-27T06:20:00Z</cp:lastPrinted>
  <dcterms:modified xsi:type="dcterms:W3CDTF">2018-03-26T17:36:02Z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